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" w:line="259" w:lineRule="auto"/>
        <w:ind w:left="2461" w:right="260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- (MODELO DE REQUERIMENTO)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0" w:lin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CREDENCIAMENTO E SELEÇÃO PARA FINS DE EVENTUAL CONTRATAÇÃO DE SERVIÇOS DE ARTISTAS E/OU GRUPOS ARTÍSTICOS E CULTURAIS, VISANDO A ORGANIZAÇÃO E REALIZAÇÃO DA PROGRAMAÇÃO DO CARNAVAL 2025, DORAVANTE DENOMINADO “CARNAVAL DO CABO: O POVO FAZ A FESTA!” DO MUNICÍPIO DO CABO DE SANTO AGOSTINHO NO ESTADO DE PERNAMBUCO, A SER EXECUTADA PELA SECRETARIA EXECUTIVA DE CULTURA, LAZER, CIÊNCIA, TECNOLOGIA E INOVAÇÃO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Razão Social: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CNPJ: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Legal: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Vimos por meio desta, apresentar nossa PROPOSTA DE ADESÃO ao credenciamento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001/2025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prestar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serviços de artistas e/ou grupos artísticos e culturais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Município d</w:t>
      </w:r>
      <w:r w:rsidDel="00000000" w:rsidR="00000000" w:rsidRPr="00000000">
        <w:rPr>
          <w:rFonts w:ascii="Arial" w:cs="Arial" w:eastAsia="Arial" w:hAnsi="Arial"/>
          <w:rtl w:val="0"/>
        </w:rPr>
        <w:t xml:space="preserve">o Cabo de Santo Agostinha - 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conforme divulgado em edital próprio da Prefeitura, propondo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CREDENCIAMENTO E SELEÇÃO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FINS DE EVENTUAL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CONTRATAÇÃO DE SERVIÇOS DE ARTISTAS E/OU GRUPOS ARTÍSTICOS E CULTURAIS, VISANDO A ORGANIZAÇÃO E REALIZAÇÃO DA PROGRAMAÇÃO DO CARNAVAL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DENOMINADO “CARNAVAL DO CABO: O POVO FAZ A FESTA!” DO MUNICÍPIO DO CABO DE SANTO AGOSTINHO NO ESTADO DE PERNAMBUCO, A SER EXECUTADA PELA SECRETARIA EXECUTIVA DE CULTURA, LAZER, CIÊNCIA, TECNOLOGIA E INOVAÇÃO,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abaixo indicadas, nos preços que foram previamente determinados constantes do Termo de Referência: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(Abaixo relacionar apenas os itens para os quais deseja credenciar)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2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84"/>
        <w:tblW w:w="960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5"/>
        <w:gridCol w:w="1830"/>
        <w:gridCol w:w="1410"/>
        <w:gridCol w:w="1725"/>
        <w:gridCol w:w="2070"/>
        <w:gridCol w:w="2130"/>
        <w:tblGridChange w:id="0">
          <w:tblGrid>
            <w:gridCol w:w="435"/>
            <w:gridCol w:w="1830"/>
            <w:gridCol w:w="1410"/>
            <w:gridCol w:w="1725"/>
            <w:gridCol w:w="2070"/>
            <w:gridCol w:w="213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ATRAÇÃO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R$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DE INTEGRANTES (no mínimo)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QUANT. APRESENTAÇÕES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DAS APRESENTAÇÕES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Orquestra de Frevo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3.500,00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23/02/2025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26/02/2025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27/02/2025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27/02/2025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01/03/2025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05/03/2025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06/03/2025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08/03/2025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09/03/2025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15/03/2025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16/03/2025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Passistas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300,00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Orquestra de Pau e Corda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4.900,00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05/03/2025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Afoxé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3.500,00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05/03/2025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Boi de Carnaval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3.500,00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 de Cultura Popular (Boi de Carnaval, Banda de Pífano, Maracatu, Caboclinhos, Urso de carnaval,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 de Coco)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3.500,00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05/03/2025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Bandas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3.000,00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05/03/2025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06/03/2025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08/03/2025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09/03/2025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15/03/2025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16/03/2025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Ator ou Atriz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Poeta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Voz e Teclados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1.200,00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 ou 02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 de Dança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3.000,00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04/03/2025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 de Samba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3.000,00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DJ (Disc-Jockey)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1.000,00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02/03/2025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03/03/2025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before="20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Declaramos: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cumpre os requisitos estabelecidos no artigo 3° da Lei Complementar nº 123/2006, estando apta a usufruir do tratamento favorecido estabelecido em seus arts. 42 a 49 e que não celebrou contratos com a Administração Pública cujos valores extrapolam a receita bruta máxima admitida para fins de enquadramento como empresa de pequeno porte;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</w:tabs>
        <w:spacing w:after="0" w:before="77" w:line="240" w:lineRule="auto"/>
        <w:ind w:left="0" w:right="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itens exclusivos para participação de microempresas e empresas de pequeno porte, a assinalação do</w:t>
      </w:r>
    </w:p>
    <w:p w:rsidR="00000000" w:rsidDel="00000000" w:rsidP="00000000" w:rsidRDefault="00000000" w:rsidRPr="00000000" w14:paraId="0000010E">
      <w:pPr>
        <w:spacing w:before="4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 “não” impedirá o prosseguimento no certame;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4"/>
          <w:tab w:val="left" w:leader="none" w:pos="9781"/>
        </w:tabs>
        <w:spacing w:after="0" w:before="79" w:line="242" w:lineRule="auto"/>
        <w:ind w:left="0" w:right="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 itens em que a participação não for exclusiva para microempresas e empresas de pequeno porte, a assinalação do campo “não” apenas produzirá o efeito de o licitante não ter direito ao tratamento favorecido previsto na Lei Complementar nº 123/2006, mesmo que microempresa, empresa de pequeno porte.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81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está ciente e concorda com as condições contidas no Edital e seus anexos;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cumpre os requisitos para a habilitação definidos no Edital e que a proposta apresentada está em conformidade com as exigências editalícias;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inexistem fatos impeditivos para sua habilitação no certame, ciente da obrigatoriedade de declarar ocorrências posteriores;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não emprega menor de 18 anos em trabalho noturno, perigoso ou insalubre e não emprega menor de 16 anos, salvo menor, a partir de 14 anos, na condição de aprendiz, nos termos do artigo 7°, XXXIII, da Constituição Federal de 1998;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não possui, em sua cadeia produtiva, empregados executando trabalho degradante ou forçado, observando o disposto nos incisos III e IV do art. 1º e no inciso III do art. 5º da Constituição Federal;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)sim ( )não: Que cumpre com a reserva de cargos prevista em lei para pessoa com deficiência ou para reabilitado da Previdência Social e que atendam às regras de acessibilidade previstas na legislação, conforme disposto no art. 93 da Lei nº 8.213/1991.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1"/>
          <w:tab w:val="left" w:leader="none" w:pos="4287"/>
          <w:tab w:val="left" w:leader="none" w:pos="6072"/>
        </w:tabs>
        <w:spacing w:after="0" w:before="0" w:line="240" w:lineRule="auto"/>
        <w:ind w:left="0" w:right="2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,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241300</wp:posOffset>
                </wp:positionV>
                <wp:extent cx="24384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3779365"/>
                          <a:ext cx="2438400" cy="1270"/>
                        </a:xfrm>
                        <a:custGeom>
                          <a:rect b="b" l="l" r="r" t="t"/>
                          <a:pathLst>
                            <a:path extrusionOk="0" h="120000"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241300</wp:posOffset>
                </wp:positionV>
                <wp:extent cx="24384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2436" w:right="260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legal da empresa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702" w:top="1819" w:left="1276" w:right="721" w:header="710" w:footer="1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-1073310</wp:posOffset>
          </wp:positionH>
          <wp:positionV relativeFrom="paragraph">
            <wp:posOffset>-880751</wp:posOffset>
          </wp:positionV>
          <wp:extent cx="7970344" cy="1127038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0344" cy="11270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"/>
      <w:lvlJc w:val="left"/>
      <w:pPr>
        <w:ind w:left="986" w:hanging="339.0000000000001"/>
      </w:pPr>
      <w:rPr/>
    </w:lvl>
    <w:lvl w:ilvl="1">
      <w:start w:val="1"/>
      <w:numFmt w:val="decimal"/>
      <w:lvlText w:val="%1.%2)"/>
      <w:lvlJc w:val="left"/>
      <w:pPr>
        <w:ind w:left="986" w:hanging="339.0000000000001"/>
      </w:pPr>
      <w:rPr>
        <w:rFonts w:ascii="Verdana" w:cs="Verdana" w:eastAsia="Verdana" w:hAnsi="Verdana"/>
        <w:b w:val="0"/>
        <w:i w:val="0"/>
        <w:sz w:val="16"/>
        <w:szCs w:val="16"/>
      </w:rPr>
    </w:lvl>
    <w:lvl w:ilvl="2">
      <w:start w:val="0"/>
      <w:numFmt w:val="bullet"/>
      <w:lvlText w:val="•"/>
      <w:lvlJc w:val="left"/>
      <w:pPr>
        <w:ind w:left="3000" w:hanging="339"/>
      </w:pPr>
      <w:rPr/>
    </w:lvl>
    <w:lvl w:ilvl="3">
      <w:start w:val="0"/>
      <w:numFmt w:val="bullet"/>
      <w:lvlText w:val="•"/>
      <w:lvlJc w:val="left"/>
      <w:pPr>
        <w:ind w:left="4010" w:hanging="339"/>
      </w:pPr>
      <w:rPr/>
    </w:lvl>
    <w:lvl w:ilvl="4">
      <w:start w:val="0"/>
      <w:numFmt w:val="bullet"/>
      <w:lvlText w:val="•"/>
      <w:lvlJc w:val="left"/>
      <w:pPr>
        <w:ind w:left="5020" w:hanging="339"/>
      </w:pPr>
      <w:rPr/>
    </w:lvl>
    <w:lvl w:ilvl="5">
      <w:start w:val="0"/>
      <w:numFmt w:val="bullet"/>
      <w:lvlText w:val="•"/>
      <w:lvlJc w:val="left"/>
      <w:pPr>
        <w:ind w:left="6030" w:hanging="339"/>
      </w:pPr>
      <w:rPr/>
    </w:lvl>
    <w:lvl w:ilvl="6">
      <w:start w:val="0"/>
      <w:numFmt w:val="bullet"/>
      <w:lvlText w:val="•"/>
      <w:lvlJc w:val="left"/>
      <w:pPr>
        <w:ind w:left="7040" w:hanging="339"/>
      </w:pPr>
      <w:rPr/>
    </w:lvl>
    <w:lvl w:ilvl="7">
      <w:start w:val="0"/>
      <w:numFmt w:val="bullet"/>
      <w:lvlText w:val="•"/>
      <w:lvlJc w:val="left"/>
      <w:pPr>
        <w:ind w:left="8050" w:hanging="339"/>
      </w:pPr>
      <w:rPr/>
    </w:lvl>
    <w:lvl w:ilvl="8">
      <w:start w:val="0"/>
      <w:numFmt w:val="bullet"/>
      <w:lvlText w:val="•"/>
      <w:lvlJc w:val="left"/>
      <w:pPr>
        <w:ind w:left="9060" w:hanging="33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</w:pPr>
    <w:rPr>
      <w:rFonts w:ascii="Tahoma" w:cs="Tahoma" w:eastAsia="Tahoma" w:hAnsi="Tahoma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" w:lineRule="auto"/>
      <w:ind w:left="2434" w:right="2606"/>
      <w:jc w:val="center"/>
    </w:pPr>
    <w:rPr>
      <w:rFonts w:ascii="Tahoma" w:cs="Tahoma" w:eastAsia="Tahoma" w:hAnsi="Tahoma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